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Supplementary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T</w:t>
      </w:r>
      <w:r>
        <w:rPr>
          <w:rFonts w:ascii="Times New Roman" w:hAnsi="Times New Roman" w:cs="Times New Roman"/>
          <w:sz w:val="24"/>
          <w:szCs w:val="32"/>
        </w:rPr>
        <w:t>able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 2</w:t>
      </w:r>
      <w:r>
        <w:rPr>
          <w:rFonts w:ascii="Times New Roman" w:hAnsi="Times New Roman" w:cs="Times New Roman"/>
          <w:sz w:val="24"/>
          <w:szCs w:val="32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32"/>
        </w:rPr>
        <w:t>LncRNAs associated with autophagy</w:t>
      </w:r>
    </w:p>
    <w:tbl>
      <w:tblPr>
        <w:tblStyle w:val="4"/>
        <w:tblW w:w="0" w:type="auto"/>
        <w:tblInd w:w="0" w:type="dxa"/>
        <w:tblBorders>
          <w:top w:val="single" w:color="2F5496" w:themeColor="accent1" w:themeShade="BF" w:sz="12" w:space="0"/>
          <w:left w:val="none" w:color="auto" w:sz="0" w:space="0"/>
          <w:bottom w:val="single" w:color="2F5496" w:themeColor="accent1" w:themeShade="BF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2879"/>
        <w:gridCol w:w="1387"/>
        <w:gridCol w:w="2709"/>
      </w:tblGrid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215" w:type="dxa"/>
            <w:tcBorders>
              <w:top w:val="single" w:color="2F5496" w:themeColor="accent1" w:themeShade="BF" w:sz="12" w:space="0"/>
              <w:bottom w:val="single" w:color="2F5496" w:themeColor="accent1" w:themeShade="BF" w:sz="12" w:space="0"/>
            </w:tcBorders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Symbol</w:t>
            </w:r>
          </w:p>
        </w:tc>
        <w:tc>
          <w:tcPr>
            <w:tcW w:w="3039" w:type="dxa"/>
            <w:tcBorders>
              <w:top w:val="single" w:color="2F5496" w:themeColor="accent1" w:themeShade="BF" w:sz="12" w:space="0"/>
              <w:bottom w:val="single" w:color="2F5496" w:themeColor="accent1" w:themeShade="BF" w:sz="12" w:space="0"/>
              <w:right w:val="dotDash" w:color="2F5496" w:themeColor="accent1" w:themeShade="BF" w:sz="4" w:space="0"/>
            </w:tcBorders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Description</w:t>
            </w:r>
          </w:p>
        </w:tc>
        <w:tc>
          <w:tcPr>
            <w:tcW w:w="1193" w:type="dxa"/>
            <w:tcBorders>
              <w:top w:val="single" w:color="2F5496" w:themeColor="accent1" w:themeShade="BF" w:sz="12" w:space="0"/>
              <w:left w:val="dotDash" w:color="2F5496" w:themeColor="accent1" w:themeShade="BF" w:sz="4" w:space="0"/>
              <w:bottom w:val="single" w:color="2F5496" w:themeColor="accent1" w:themeShade="BF" w:sz="12" w:space="0"/>
            </w:tcBorders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Symbol</w:t>
            </w:r>
          </w:p>
        </w:tc>
        <w:tc>
          <w:tcPr>
            <w:tcW w:w="2859" w:type="dxa"/>
            <w:tcBorders>
              <w:top w:val="single" w:color="2F5496" w:themeColor="accent1" w:themeShade="BF" w:sz="12" w:space="0"/>
              <w:bottom w:val="single" w:color="2F5496" w:themeColor="accent1" w:themeShade="BF" w:sz="12" w:space="0"/>
            </w:tcBorders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Description</w:t>
            </w:r>
          </w:p>
        </w:tc>
      </w:tr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1215" w:type="dxa"/>
            <w:tcBorders>
              <w:top w:val="single" w:color="2F5496" w:themeColor="accent1" w:themeShade="BF" w:sz="12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ALOX12-AS1</w:t>
            </w:r>
          </w:p>
        </w:tc>
        <w:tc>
          <w:tcPr>
            <w:tcW w:w="3039" w:type="dxa"/>
            <w:tcBorders>
              <w:top w:val="single" w:color="2F5496" w:themeColor="accent1" w:themeShade="BF" w:sz="12" w:space="0"/>
              <w:righ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ALOX12 Antisense RNA 1</w:t>
            </w:r>
          </w:p>
        </w:tc>
        <w:tc>
          <w:tcPr>
            <w:tcW w:w="1193" w:type="dxa"/>
            <w:tcBorders>
              <w:top w:val="single" w:color="2F5496" w:themeColor="accent1" w:themeShade="BF" w:sz="12" w:space="0"/>
              <w:lef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LINC00702</w:t>
            </w:r>
          </w:p>
        </w:tc>
        <w:tc>
          <w:tcPr>
            <w:tcW w:w="2859" w:type="dxa"/>
            <w:tcBorders>
              <w:top w:val="single" w:color="2F5496" w:themeColor="accent1" w:themeShade="BF" w:sz="12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Long Intergenic Non-Protein Coding RNA 702</w:t>
            </w:r>
          </w:p>
        </w:tc>
      </w:tr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215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ARHGAP5-AS1</w:t>
            </w:r>
          </w:p>
        </w:tc>
        <w:tc>
          <w:tcPr>
            <w:tcW w:w="3039" w:type="dxa"/>
            <w:tcBorders>
              <w:righ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ARHGAP5 Antisense RNA 1 (Head To Head)</w:t>
            </w:r>
          </w:p>
        </w:tc>
        <w:tc>
          <w:tcPr>
            <w:tcW w:w="1193" w:type="dxa"/>
            <w:tcBorders>
              <w:lef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LINC00847</w:t>
            </w:r>
          </w:p>
        </w:tc>
        <w:tc>
          <w:tcPr>
            <w:tcW w:w="2859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Long Intergenic Non-Protein Coding RNA 847</w:t>
            </w:r>
          </w:p>
        </w:tc>
      </w:tr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1215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BBOX1-AS1</w:t>
            </w:r>
          </w:p>
        </w:tc>
        <w:tc>
          <w:tcPr>
            <w:tcW w:w="3039" w:type="dxa"/>
            <w:tcBorders>
              <w:right w:val="dotDash" w:color="2F5496" w:themeColor="accent1" w:themeShade="BF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BBOX1 Antisense RNA 1</w:t>
            </w:r>
          </w:p>
        </w:tc>
        <w:tc>
          <w:tcPr>
            <w:tcW w:w="1193" w:type="dxa"/>
            <w:tcBorders>
              <w:lef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LINC01003</w:t>
            </w:r>
          </w:p>
        </w:tc>
        <w:tc>
          <w:tcPr>
            <w:tcW w:w="2859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Long Intergenic Non-Protein Coding RNA 1003</w:t>
            </w:r>
          </w:p>
        </w:tc>
      </w:tr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1215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BCDIN3D-AS1</w:t>
            </w:r>
          </w:p>
        </w:tc>
        <w:tc>
          <w:tcPr>
            <w:tcW w:w="3039" w:type="dxa"/>
            <w:tcBorders>
              <w:righ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BCDIN3D Antisense RNA 1</w:t>
            </w:r>
          </w:p>
        </w:tc>
        <w:tc>
          <w:tcPr>
            <w:tcW w:w="1193" w:type="dxa"/>
            <w:tcBorders>
              <w:lef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LINC01134</w:t>
            </w:r>
          </w:p>
        </w:tc>
        <w:tc>
          <w:tcPr>
            <w:tcW w:w="2859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Long Intergenic Non-Protein Coding RNA 1134</w:t>
            </w:r>
          </w:p>
        </w:tc>
      </w:tr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1215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CASC2</w:t>
            </w:r>
          </w:p>
        </w:tc>
        <w:tc>
          <w:tcPr>
            <w:tcW w:w="3039" w:type="dxa"/>
            <w:tcBorders>
              <w:righ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Cancer Susceptibility 2</w:t>
            </w:r>
          </w:p>
        </w:tc>
        <w:tc>
          <w:tcPr>
            <w:tcW w:w="1193" w:type="dxa"/>
            <w:tcBorders>
              <w:lef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LINC01560</w:t>
            </w:r>
          </w:p>
        </w:tc>
        <w:tc>
          <w:tcPr>
            <w:tcW w:w="2859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Long Intergenic Non-Protein Coding RNA 1560</w:t>
            </w:r>
          </w:p>
        </w:tc>
      </w:tr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1215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DANCR</w:t>
            </w:r>
          </w:p>
        </w:tc>
        <w:tc>
          <w:tcPr>
            <w:tcW w:w="3039" w:type="dxa"/>
            <w:tcBorders>
              <w:right w:val="dotDash" w:color="2F5496" w:themeColor="accent1" w:themeShade="BF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Differentiation Antagonizing Non-Protein Coding RNA</w:t>
            </w:r>
          </w:p>
        </w:tc>
        <w:tc>
          <w:tcPr>
            <w:tcW w:w="1193" w:type="dxa"/>
            <w:tcBorders>
              <w:lef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LRRC2-AS1</w:t>
            </w:r>
          </w:p>
        </w:tc>
        <w:tc>
          <w:tcPr>
            <w:tcW w:w="2859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LRRC2 Antisense RNA 1</w:t>
            </w:r>
          </w:p>
        </w:tc>
      </w:tr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215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DSCR9</w:t>
            </w:r>
          </w:p>
        </w:tc>
        <w:tc>
          <w:tcPr>
            <w:tcW w:w="3039" w:type="dxa"/>
            <w:tcBorders>
              <w:right w:val="dotDash" w:color="2F5496" w:themeColor="accent1" w:themeShade="BF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Down Syndrome Critical Region 9</w:t>
            </w:r>
          </w:p>
        </w:tc>
        <w:tc>
          <w:tcPr>
            <w:tcW w:w="1193" w:type="dxa"/>
            <w:tcBorders>
              <w:lef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NAV2-AS4</w:t>
            </w:r>
          </w:p>
        </w:tc>
        <w:tc>
          <w:tcPr>
            <w:tcW w:w="2859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NAV2 Antisense RNA 4</w:t>
            </w:r>
          </w:p>
        </w:tc>
      </w:tr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0" w:hRule="atLeast"/>
        </w:trPr>
        <w:tc>
          <w:tcPr>
            <w:tcW w:w="1215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GHET1</w:t>
            </w:r>
          </w:p>
        </w:tc>
        <w:tc>
          <w:tcPr>
            <w:tcW w:w="3039" w:type="dxa"/>
            <w:tcBorders>
              <w:right w:val="dotDash" w:color="2F5496" w:themeColor="accent1" w:themeShade="BF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Gastric Carcinoma Proliferation Enhancing Transcript 1</w:t>
            </w:r>
          </w:p>
        </w:tc>
        <w:tc>
          <w:tcPr>
            <w:tcW w:w="1193" w:type="dxa"/>
            <w:tcBorders>
              <w:lef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NBR2</w:t>
            </w:r>
          </w:p>
        </w:tc>
        <w:tc>
          <w:tcPr>
            <w:tcW w:w="2859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Neighbor Of BRCA1 LncRNA 2</w:t>
            </w:r>
          </w:p>
        </w:tc>
      </w:tr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15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HOXD-AS2</w:t>
            </w:r>
          </w:p>
        </w:tc>
        <w:tc>
          <w:tcPr>
            <w:tcW w:w="3039" w:type="dxa"/>
            <w:tcBorders>
              <w:righ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HOXD Cluster Antisense RNA 2</w:t>
            </w:r>
          </w:p>
        </w:tc>
        <w:tc>
          <w:tcPr>
            <w:tcW w:w="1193" w:type="dxa"/>
            <w:tcBorders>
              <w:lef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NRSN2-AS1</w:t>
            </w:r>
          </w:p>
        </w:tc>
        <w:tc>
          <w:tcPr>
            <w:tcW w:w="2859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NRSN2 Antisense RNA 1</w:t>
            </w:r>
          </w:p>
        </w:tc>
      </w:tr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215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INE1</w:t>
            </w:r>
          </w:p>
        </w:tc>
        <w:tc>
          <w:tcPr>
            <w:tcW w:w="3039" w:type="dxa"/>
            <w:tcBorders>
              <w:righ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Inactivation Escape 1</w:t>
            </w:r>
          </w:p>
        </w:tc>
        <w:tc>
          <w:tcPr>
            <w:tcW w:w="1193" w:type="dxa"/>
            <w:tcBorders>
              <w:lef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PARD6G-AS1</w:t>
            </w:r>
          </w:p>
        </w:tc>
        <w:tc>
          <w:tcPr>
            <w:tcW w:w="2859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PARD6G Antisense RNA 1</w:t>
            </w:r>
          </w:p>
        </w:tc>
      </w:tr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215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INHBA-AS1</w:t>
            </w:r>
          </w:p>
        </w:tc>
        <w:tc>
          <w:tcPr>
            <w:tcW w:w="3039" w:type="dxa"/>
            <w:tcBorders>
              <w:righ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INHBA Antisense RNA 1</w:t>
            </w:r>
          </w:p>
        </w:tc>
        <w:tc>
          <w:tcPr>
            <w:tcW w:w="1193" w:type="dxa"/>
            <w:tcBorders>
              <w:lef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PPP3CB-AS1</w:t>
            </w:r>
          </w:p>
        </w:tc>
        <w:tc>
          <w:tcPr>
            <w:tcW w:w="2859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PPP3CB Antisense RNA 1 (Head To Head)</w:t>
            </w:r>
          </w:p>
        </w:tc>
      </w:tr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215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IQCH-AS1</w:t>
            </w:r>
          </w:p>
        </w:tc>
        <w:tc>
          <w:tcPr>
            <w:tcW w:w="3039" w:type="dxa"/>
            <w:tcBorders>
              <w:right w:val="dotDash" w:color="2F5496" w:themeColor="accent1" w:themeShade="BF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IQCH Antisense RNA 1</w:t>
            </w:r>
          </w:p>
        </w:tc>
        <w:tc>
          <w:tcPr>
            <w:tcW w:w="1193" w:type="dxa"/>
            <w:tcBorders>
              <w:lef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SOS1-IT1</w:t>
            </w:r>
          </w:p>
        </w:tc>
        <w:tc>
          <w:tcPr>
            <w:tcW w:w="2859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SOS1 Intronic Transcript 1</w:t>
            </w:r>
          </w:p>
        </w:tc>
      </w:tr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215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LBX2-AS1</w:t>
            </w:r>
          </w:p>
        </w:tc>
        <w:tc>
          <w:tcPr>
            <w:tcW w:w="3039" w:type="dxa"/>
            <w:tcBorders>
              <w:righ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LBX2 Antisense RNA 1</w:t>
            </w:r>
          </w:p>
        </w:tc>
        <w:tc>
          <w:tcPr>
            <w:tcW w:w="1193" w:type="dxa"/>
            <w:tcBorders>
              <w:left w:val="dotDash" w:color="2F5496" w:themeColor="accent1" w:themeShade="BF" w:sz="4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SPAG5-AS1</w:t>
            </w:r>
          </w:p>
        </w:tc>
        <w:tc>
          <w:tcPr>
            <w:tcW w:w="2859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SPAG5 Antisense RNA 1</w:t>
            </w:r>
          </w:p>
        </w:tc>
      </w:tr>
      <w:tr>
        <w:tblPrEx>
          <w:tblBorders>
            <w:top w:val="single" w:color="2F5496" w:themeColor="accent1" w:themeShade="BF" w:sz="12" w:space="0"/>
            <w:left w:val="none" w:color="auto" w:sz="0" w:space="0"/>
            <w:bottom w:val="single" w:color="2F5496" w:themeColor="accent1" w:themeShade="BF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1215" w:type="dxa"/>
            <w:noWrap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LINC00622</w:t>
            </w:r>
          </w:p>
        </w:tc>
        <w:tc>
          <w:tcPr>
            <w:tcW w:w="3039" w:type="dxa"/>
            <w:tcBorders>
              <w:right w:val="dotDash" w:color="2F5496" w:themeColor="accent1" w:themeShade="BF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Long Intergenic Non-Protein Coding RNA 622</w:t>
            </w:r>
          </w:p>
        </w:tc>
        <w:tc>
          <w:tcPr>
            <w:tcW w:w="1193" w:type="dxa"/>
            <w:tcBorders>
              <w:left w:val="dotDash" w:color="2F5496" w:themeColor="accent1" w:themeShade="BF" w:sz="4" w:space="0"/>
              <w:bottom w:val="single" w:color="2F5496" w:themeColor="accent1" w:themeShade="BF" w:sz="12" w:space="0"/>
            </w:tcBorders>
            <w:noWrap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9" w:type="dxa"/>
            <w:noWrap/>
          </w:tcPr>
          <w:p>
            <w:pPr>
              <w:rPr>
                <w:rFonts w:ascii="Times New Roman" w:hAnsi="Times New Roman" w:cs="Times New Roman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00E73C50"/>
    <w:rsid w:val="00007331"/>
    <w:rsid w:val="00010F10"/>
    <w:rsid w:val="00026E93"/>
    <w:rsid w:val="000362B4"/>
    <w:rsid w:val="00046CA7"/>
    <w:rsid w:val="00055A4C"/>
    <w:rsid w:val="00055E35"/>
    <w:rsid w:val="000849FB"/>
    <w:rsid w:val="000871E3"/>
    <w:rsid w:val="000B524A"/>
    <w:rsid w:val="000B7EC8"/>
    <w:rsid w:val="000D0BAA"/>
    <w:rsid w:val="000E648E"/>
    <w:rsid w:val="000F49E5"/>
    <w:rsid w:val="000F7C30"/>
    <w:rsid w:val="00104047"/>
    <w:rsid w:val="001064D4"/>
    <w:rsid w:val="00157178"/>
    <w:rsid w:val="00183923"/>
    <w:rsid w:val="00186D88"/>
    <w:rsid w:val="001C32F8"/>
    <w:rsid w:val="001E0D12"/>
    <w:rsid w:val="002065FD"/>
    <w:rsid w:val="00225815"/>
    <w:rsid w:val="002865FD"/>
    <w:rsid w:val="00295121"/>
    <w:rsid w:val="002A1296"/>
    <w:rsid w:val="002A7852"/>
    <w:rsid w:val="002E5149"/>
    <w:rsid w:val="00335D41"/>
    <w:rsid w:val="00375C1B"/>
    <w:rsid w:val="003A778C"/>
    <w:rsid w:val="003E279A"/>
    <w:rsid w:val="003E74B5"/>
    <w:rsid w:val="003F6F23"/>
    <w:rsid w:val="004015E8"/>
    <w:rsid w:val="00421A96"/>
    <w:rsid w:val="00437A78"/>
    <w:rsid w:val="00487FB2"/>
    <w:rsid w:val="004A64D9"/>
    <w:rsid w:val="004D33F8"/>
    <w:rsid w:val="004F057F"/>
    <w:rsid w:val="00501E7E"/>
    <w:rsid w:val="00506DCC"/>
    <w:rsid w:val="00545600"/>
    <w:rsid w:val="00555363"/>
    <w:rsid w:val="005B6A36"/>
    <w:rsid w:val="005C6744"/>
    <w:rsid w:val="005E269C"/>
    <w:rsid w:val="005F0ECB"/>
    <w:rsid w:val="0060068C"/>
    <w:rsid w:val="0060144F"/>
    <w:rsid w:val="006029DE"/>
    <w:rsid w:val="00646293"/>
    <w:rsid w:val="00655328"/>
    <w:rsid w:val="006723F4"/>
    <w:rsid w:val="0067601A"/>
    <w:rsid w:val="006C5DB8"/>
    <w:rsid w:val="006F346A"/>
    <w:rsid w:val="007232F9"/>
    <w:rsid w:val="007272D1"/>
    <w:rsid w:val="00730B74"/>
    <w:rsid w:val="0073159B"/>
    <w:rsid w:val="007367DF"/>
    <w:rsid w:val="00767178"/>
    <w:rsid w:val="007933CB"/>
    <w:rsid w:val="007D10BC"/>
    <w:rsid w:val="00813C82"/>
    <w:rsid w:val="00814264"/>
    <w:rsid w:val="0084596E"/>
    <w:rsid w:val="00845B88"/>
    <w:rsid w:val="008829E4"/>
    <w:rsid w:val="008A2C2C"/>
    <w:rsid w:val="008D1933"/>
    <w:rsid w:val="008F315C"/>
    <w:rsid w:val="008F574F"/>
    <w:rsid w:val="00932255"/>
    <w:rsid w:val="00936833"/>
    <w:rsid w:val="00955952"/>
    <w:rsid w:val="00960BF7"/>
    <w:rsid w:val="0097366A"/>
    <w:rsid w:val="009C6991"/>
    <w:rsid w:val="009C6D8D"/>
    <w:rsid w:val="009C7969"/>
    <w:rsid w:val="009D2B80"/>
    <w:rsid w:val="00A346E1"/>
    <w:rsid w:val="00A34C80"/>
    <w:rsid w:val="00A63DFD"/>
    <w:rsid w:val="00A7320D"/>
    <w:rsid w:val="00A969D2"/>
    <w:rsid w:val="00AA2384"/>
    <w:rsid w:val="00AA65CA"/>
    <w:rsid w:val="00AB752E"/>
    <w:rsid w:val="00AD63C9"/>
    <w:rsid w:val="00AF05FC"/>
    <w:rsid w:val="00B13F9D"/>
    <w:rsid w:val="00B408E6"/>
    <w:rsid w:val="00B61699"/>
    <w:rsid w:val="00B67297"/>
    <w:rsid w:val="00B75573"/>
    <w:rsid w:val="00BD3B03"/>
    <w:rsid w:val="00BE4CFC"/>
    <w:rsid w:val="00BE56F3"/>
    <w:rsid w:val="00C01EAB"/>
    <w:rsid w:val="00C1393F"/>
    <w:rsid w:val="00C30BC4"/>
    <w:rsid w:val="00C4323C"/>
    <w:rsid w:val="00C46D68"/>
    <w:rsid w:val="00C535E7"/>
    <w:rsid w:val="00C55F5C"/>
    <w:rsid w:val="00C73BF0"/>
    <w:rsid w:val="00CA425D"/>
    <w:rsid w:val="00CA5BFF"/>
    <w:rsid w:val="00CA5DA8"/>
    <w:rsid w:val="00D378F9"/>
    <w:rsid w:val="00D53BD8"/>
    <w:rsid w:val="00DC57FC"/>
    <w:rsid w:val="00E00CBF"/>
    <w:rsid w:val="00E07255"/>
    <w:rsid w:val="00E65C70"/>
    <w:rsid w:val="00E73C50"/>
    <w:rsid w:val="00E75DCE"/>
    <w:rsid w:val="00EA1570"/>
    <w:rsid w:val="00EB6C23"/>
    <w:rsid w:val="00EB771F"/>
    <w:rsid w:val="00EC6CEC"/>
    <w:rsid w:val="00F12664"/>
    <w:rsid w:val="00F15565"/>
    <w:rsid w:val="00F230A6"/>
    <w:rsid w:val="00F275AC"/>
    <w:rsid w:val="00F40A67"/>
    <w:rsid w:val="00F50DFD"/>
    <w:rsid w:val="00F73949"/>
    <w:rsid w:val="00F75425"/>
    <w:rsid w:val="00F87C52"/>
    <w:rsid w:val="00F97D6E"/>
    <w:rsid w:val="00FB2ADC"/>
    <w:rsid w:val="00FB6B6A"/>
    <w:rsid w:val="00FB7BA5"/>
    <w:rsid w:val="00FC2913"/>
    <w:rsid w:val="00FE2217"/>
    <w:rsid w:val="7E6C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keepNext/>
      <w:keepLines/>
      <w:widowControl/>
      <w:spacing w:before="100" w:beforeAutospacing="1" w:after="100" w:afterAutospacing="1"/>
      <w:jc w:val="left"/>
      <w:outlineLvl w:val="1"/>
    </w:pPr>
    <w:rPr>
      <w:rFonts w:ascii="Times New Roman" w:hAnsi="Times New Roman" w:eastAsia="Times New Roman" w:cs="Times New Roman"/>
      <w:b/>
      <w:color w:val="000000" w:themeColor="text1"/>
      <w:sz w:val="28"/>
      <w:szCs w:val="26"/>
      <w:shd w:val="clear" w:color="auto" w:fill="FFFFFF"/>
      <w:lang w:eastAsia="en-GB"/>
      <w14:textFill>
        <w14:solidFill>
          <w14:schemeClr w14:val="tx1"/>
        </w14:solidFill>
      </w14:textFill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paragraph" w:customStyle="1" w:styleId="8">
    <w:name w:val="样式2"/>
    <w:basedOn w:val="1"/>
    <w:qFormat/>
    <w:uiPriority w:val="0"/>
    <w:pPr>
      <w:keepNext/>
      <w:keepLines/>
      <w:widowControl/>
      <w:spacing w:before="100" w:beforeAutospacing="1" w:after="100" w:afterAutospacing="1" w:line="360" w:lineRule="auto"/>
      <w:jc w:val="left"/>
      <w:outlineLvl w:val="0"/>
    </w:pPr>
    <w:rPr>
      <w:rFonts w:ascii="Times New Roman" w:hAnsi="Times New Roman" w:cs="Times New Roman" w:eastAsiaTheme="majorEastAsia"/>
      <w:b/>
      <w:color w:val="000000" w:themeColor="text1"/>
      <w:kern w:val="0"/>
      <w:sz w:val="32"/>
      <w:szCs w:val="32"/>
      <w:lang w:val="en-GB" w:eastAsia="en-GB"/>
      <w14:textFill>
        <w14:solidFill>
          <w14:schemeClr w14:val="tx1"/>
        </w14:solidFill>
      </w14:textFill>
    </w:rPr>
  </w:style>
  <w:style w:type="character" w:customStyle="1" w:styleId="9">
    <w:name w:val="标题 2 字符"/>
    <w:basedOn w:val="5"/>
    <w:link w:val="2"/>
    <w:uiPriority w:val="9"/>
    <w:rPr>
      <w:rFonts w:ascii="Times New Roman" w:hAnsi="Times New Roman" w:eastAsia="Times New Roman" w:cs="Times New Roman"/>
      <w:b/>
      <w:color w:val="000000" w:themeColor="text1"/>
      <w:sz w:val="28"/>
      <w:szCs w:val="26"/>
      <w:lang w:eastAsia="en-GB"/>
      <w14:textFill>
        <w14:solidFill>
          <w14:schemeClr w14:val="tx1"/>
        </w14:solidFill>
      </w14:textFill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1026</Characters>
  <Lines>8</Lines>
  <Paragraphs>2</Paragraphs>
  <TotalTime>3</TotalTime>
  <ScaleCrop>false</ScaleCrop>
  <LinksUpToDate>false</LinksUpToDate>
  <CharactersWithSpaces>1203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2023-08-01T11:01:00Z</dcterms:created>
  <dc:creator>Administrator</dc:creator>
  <cp:lastModifiedBy>Daisy</cp:lastModifiedBy>
  <dcterms:modified xsi:type="dcterms:W3CDTF">2023-09-05T01:20:16Z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49A1746B603B4CD8A98163BD63BCF400_12</vt:lpwstr>
  </property>
</Properties>
</file>